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540" w:left="0"/>
        <w:jc w:val="both"/>
        <w:outlineLvl w:val="0"/>
      </w:pPr>
      <w:r>
        <w:rPr>
          <w:b w:val="1"/>
          <w:sz w:val="24"/>
        </w:rPr>
        <w:t>Прокуратура разъясняет: работодатель должен компенсировать расходы на медосмотр даже непринятому соискателю (09.12.2025)</w:t>
      </w:r>
    </w:p>
    <w:p w14:paraId="02000000">
      <w:pPr>
        <w:pStyle w:val="Style_1"/>
        <w:spacing w:before="0"/>
        <w:ind w:firstLine="540" w:left="0"/>
        <w:jc w:val="both"/>
      </w:pPr>
    </w:p>
    <w:p w14:paraId="03000000">
      <w:pPr>
        <w:pStyle w:val="Style_1"/>
        <w:spacing w:before="0"/>
        <w:ind w:firstLine="540" w:left="0"/>
        <w:jc w:val="both"/>
      </w:pPr>
      <w:r>
        <w:rPr>
          <w:sz w:val="24"/>
        </w:rPr>
        <w:t>С кандидатом провели собеседование. Его направили на предварительный медосмотр, который он прошел в сторонней организации (там было дешевле). Специалиста так и не приняли на работу, поскольку все вакансии к этому времени закрыли. Он обратился в суд, чтобы в том числе вернуть деньги за медосмотр.</w:t>
      </w:r>
    </w:p>
    <w:p w14:paraId="04000000">
      <w:pPr>
        <w:pStyle w:val="Style_1"/>
        <w:spacing w:before="0"/>
        <w:ind w:firstLine="540" w:left="0"/>
        <w:jc w:val="both"/>
      </w:pPr>
      <w:r>
        <w:rPr>
          <w:sz w:val="24"/>
        </w:rPr>
        <w:t xml:space="preserve">Две инстанции требования не удовлетворили. 2-й КСОЮ </w:t>
      </w:r>
      <w:r>
        <w:rPr>
          <w:sz w:val="24"/>
        </w:rPr>
        <w:t>напомнил</w:t>
      </w:r>
      <w:r>
        <w:rPr>
          <w:sz w:val="24"/>
        </w:rPr>
        <w:t xml:space="preserve">: </w:t>
      </w:r>
      <w:r>
        <w:rPr>
          <w:sz w:val="24"/>
        </w:rPr>
        <w:t>ТК</w:t>
      </w:r>
      <w:r>
        <w:rPr>
          <w:sz w:val="24"/>
        </w:rPr>
        <w:t xml:space="preserve"> РФ не предусматривает оплату предварительного медосмотра за счет работника. Расходы на обследование покрывает работодатель, даже если трудовой договор в итоге не заключили. </w:t>
      </w:r>
      <w:r>
        <w:rPr>
          <w:sz w:val="24"/>
        </w:rPr>
        <w:t>Нельзя отказывать</w:t>
      </w:r>
      <w:r>
        <w:rPr>
          <w:sz w:val="24"/>
        </w:rPr>
        <w:t xml:space="preserve"> во взыскании только потому, что специалист прошел медосмотр в организации не из направления.</w:t>
      </w:r>
    </w:p>
    <w:p w14:paraId="05000000">
      <w:pPr>
        <w:pStyle w:val="Style_1"/>
        <w:spacing w:before="0"/>
        <w:ind w:firstLine="540" w:left="0"/>
        <w:jc w:val="both"/>
      </w:pPr>
      <w:r>
        <w:rPr>
          <w:sz w:val="24"/>
        </w:rPr>
        <w:t>Дело направили на новое рассмотрение.</w:t>
      </w:r>
    </w:p>
    <w:p w14:paraId="06000000">
      <w:pPr>
        <w:pStyle w:val="Style_1"/>
        <w:spacing w:before="0"/>
        <w:ind w:firstLine="540" w:left="0"/>
        <w:jc w:val="both"/>
      </w:pPr>
      <w:r>
        <w:rPr>
          <w:sz w:val="24"/>
        </w:rPr>
        <w:t xml:space="preserve">Отметим, суды и ранее взыскивали с работодателя расходы на медосмотр, даже если трудоустройство не состоялось. Такие примеры есть в практике </w:t>
      </w:r>
      <w:r>
        <w:rPr>
          <w:sz w:val="24"/>
        </w:rPr>
        <w:t>4-го</w:t>
      </w:r>
      <w:r>
        <w:rPr>
          <w:sz w:val="24"/>
        </w:rPr>
        <w:t xml:space="preserve"> и </w:t>
      </w:r>
      <w:r>
        <w:rPr>
          <w:sz w:val="24"/>
        </w:rPr>
        <w:t>6-го</w:t>
      </w:r>
      <w:r>
        <w:rPr>
          <w:sz w:val="24"/>
        </w:rPr>
        <w:t xml:space="preserve"> КСОЮ.</w:t>
      </w:r>
    </w:p>
    <w:p w14:paraId="07000000">
      <w:pPr>
        <w:pStyle w:val="Style_1"/>
      </w:pPr>
      <w:r>
        <w:rPr>
          <w:i w:val="1"/>
          <w:sz w:val="24"/>
        </w:rPr>
        <w:br/>
      </w:r>
    </w:p>
    <w:p w14:paraId="08000000">
      <w:pPr>
        <w:pStyle w:val="Style_1"/>
      </w:pPr>
    </w:p>
    <w:p w14:paraId="09000000">
      <w:pPr>
        <w:pStyle w:val="Style_1"/>
      </w:pPr>
    </w:p>
    <w:p w14:paraId="0A000000">
      <w:pPr>
        <w:pStyle w:val="Style_1"/>
      </w:pPr>
    </w:p>
    <w:p w14:paraId="0B000000">
      <w:pPr>
        <w:pStyle w:val="Style_1"/>
      </w:pPr>
    </w:p>
    <w:p w14:paraId="0C000000">
      <w:pPr>
        <w:pStyle w:val="Style_1"/>
      </w:pPr>
    </w:p>
    <w:p w14:paraId="0D000000">
      <w:pPr>
        <w:pStyle w:val="Style_1"/>
      </w:pPr>
    </w:p>
    <w:p w14:paraId="0E000000">
      <w:pPr>
        <w:pStyle w:val="Style_1"/>
      </w:pPr>
    </w:p>
    <w:p w14:paraId="0F000000">
      <w:pPr>
        <w:pStyle w:val="Style_1"/>
      </w:pPr>
    </w:p>
    <w:p w14:paraId="10000000">
      <w:pPr>
        <w:pStyle w:val="Style_1"/>
      </w:pPr>
    </w:p>
    <w:p w14:paraId="11000000">
      <w:pPr>
        <w:pStyle w:val="Style_1"/>
      </w:pPr>
    </w:p>
    <w:p w14:paraId="12000000">
      <w:pPr>
        <w:pStyle w:val="Style_1"/>
      </w:pPr>
    </w:p>
    <w:p w14:paraId="13000000">
      <w:pPr>
        <w:pStyle w:val="Style_1"/>
      </w:pPr>
    </w:p>
    <w:p w14:paraId="14000000">
      <w:pPr>
        <w:pStyle w:val="Style_1"/>
      </w:pPr>
    </w:p>
    <w:p w14:paraId="15000000">
      <w:pPr>
        <w:pStyle w:val="Style_1"/>
      </w:pPr>
    </w:p>
    <w:p w14:paraId="16000000">
      <w:pPr>
        <w:pStyle w:val="Style_1"/>
      </w:pPr>
    </w:p>
    <w:p w14:paraId="17000000">
      <w:pPr>
        <w:pStyle w:val="Style_1"/>
      </w:pPr>
    </w:p>
    <w:p w14:paraId="18000000">
      <w:pPr>
        <w:pStyle w:val="Style_1"/>
      </w:pPr>
    </w:p>
    <w:p w14:paraId="19000000">
      <w:pPr>
        <w:pStyle w:val="Style_1"/>
      </w:pPr>
    </w:p>
    <w:p w14:paraId="1A000000">
      <w:pPr>
        <w:pStyle w:val="Style_1"/>
      </w:pPr>
    </w:p>
    <w:sectPr>
      <w:pgSz w:h="16838" w:orient="portrait" w:w="11906"/>
      <w:pgMar w:bottom="1440" w:footer="0" w:gutter="0" w:header="0" w:left="1133" w:right="566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ConsPlusNormal"/>
    <w:link w:val="Style_1_ch"/>
    <w:pPr>
      <w:widowControl w:val="0"/>
      <w:ind/>
    </w:pPr>
    <w:rPr>
      <w:rFonts w:ascii="Times New Roman" w:hAnsi="Times New Roman"/>
      <w:sz w:val="24"/>
    </w:rPr>
  </w:style>
  <w:style w:default="1" w:styleId="Style_1_ch" w:type="character">
    <w:name w:val="ConsPlusNormal"/>
    <w:link w:val="Style_1"/>
    <w:rPr>
      <w:rFonts w:ascii="Times New Roman" w:hAnsi="Times New Roman"/>
      <w:sz w:val="24"/>
    </w:rPr>
  </w:style>
  <w:style w:styleId="Style_2" w:type="paragraph">
    <w:name w:val="toc 2"/>
    <w:next w:val="Style_3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4" w:type="paragraph">
    <w:name w:val="toc 4"/>
    <w:next w:val="Style_3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3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3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3" w:type="paragraph">
    <w:name w:val="Normal"/>
    <w:link w:val="Style_3_ch"/>
    <w:uiPriority w:val="0"/>
    <w:qFormat/>
  </w:style>
  <w:style w:styleId="Style_3_ch" w:type="character">
    <w:name w:val="Normal"/>
    <w:link w:val="Style_3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PlusNonformat"/>
    <w:link w:val="Style_9_ch"/>
    <w:pPr>
      <w:widowControl w:val="0"/>
      <w:ind/>
    </w:pPr>
    <w:rPr>
      <w:rFonts w:ascii="Courier New" w:hAnsi="Courier New"/>
      <w:sz w:val="20"/>
    </w:rPr>
  </w:style>
  <w:style w:styleId="Style_9_ch" w:type="character">
    <w:name w:val="ConsPlusNonformat"/>
    <w:link w:val="Style_9"/>
    <w:rPr>
      <w:rFonts w:ascii="Courier New" w:hAnsi="Courier New"/>
      <w:sz w:val="20"/>
    </w:rPr>
  </w:style>
  <w:style w:styleId="Style_10" w:type="paragraph">
    <w:name w:val="ConsPlusCell"/>
    <w:link w:val="Style_10_ch"/>
    <w:pPr>
      <w:widowControl w:val="0"/>
      <w:ind/>
    </w:pPr>
    <w:rPr>
      <w:rFonts w:ascii="Courier New" w:hAnsi="Courier New"/>
      <w:sz w:val="20"/>
    </w:rPr>
  </w:style>
  <w:style w:styleId="Style_10_ch" w:type="character">
    <w:name w:val="ConsPlusCell"/>
    <w:link w:val="Style_10"/>
    <w:rPr>
      <w:rFonts w:ascii="Courier New" w:hAnsi="Courier New"/>
      <w:sz w:val="20"/>
    </w:rPr>
  </w:style>
  <w:style w:styleId="Style_11" w:type="paragraph">
    <w:name w:val="ConsPlusJurTerm"/>
    <w:link w:val="Style_11_ch"/>
    <w:pPr>
      <w:widowControl w:val="0"/>
      <w:ind/>
    </w:pPr>
    <w:rPr>
      <w:rFonts w:ascii="Tahoma" w:hAnsi="Tahoma"/>
      <w:sz w:val="26"/>
    </w:rPr>
  </w:style>
  <w:style w:styleId="Style_11_ch" w:type="character">
    <w:name w:val="ConsPlusJurTerm"/>
    <w:link w:val="Style_11"/>
    <w:rPr>
      <w:rFonts w:ascii="Tahoma" w:hAnsi="Tahoma"/>
      <w:sz w:val="26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ConsPlusTextList"/>
    <w:link w:val="Style_19_ch"/>
    <w:pPr>
      <w:widowControl w:val="0"/>
      <w:ind/>
    </w:pPr>
    <w:rPr>
      <w:rFonts w:ascii="Times New Roman" w:hAnsi="Times New Roman"/>
      <w:sz w:val="24"/>
    </w:rPr>
  </w:style>
  <w:style w:styleId="Style_19_ch" w:type="character">
    <w:name w:val="ConsPlusTextList"/>
    <w:link w:val="Style_19"/>
    <w:rPr>
      <w:rFonts w:ascii="Times New Roman" w:hAnsi="Times New Roman"/>
      <w:sz w:val="24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ConsPlusTitlePage"/>
    <w:link w:val="Style_22_ch"/>
    <w:pPr>
      <w:widowControl w:val="0"/>
      <w:ind/>
    </w:pPr>
    <w:rPr>
      <w:rFonts w:ascii="Tahoma" w:hAnsi="Tahoma"/>
      <w:sz w:val="20"/>
    </w:rPr>
  </w:style>
  <w:style w:styleId="Style_22_ch" w:type="character">
    <w:name w:val="ConsPlusTitlePage"/>
    <w:link w:val="Style_22"/>
    <w:rPr>
      <w:rFonts w:ascii="Tahoma" w:hAnsi="Tahoma"/>
      <w:sz w:val="20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ConsPlusTitle"/>
    <w:link w:val="Style_24_ch"/>
    <w:pPr>
      <w:widowControl w:val="0"/>
      <w:ind/>
    </w:pPr>
    <w:rPr>
      <w:rFonts w:ascii="Arial" w:hAnsi="Arial"/>
      <w:b w:val="1"/>
      <w:sz w:val="24"/>
    </w:rPr>
  </w:style>
  <w:style w:styleId="Style_24_ch" w:type="character">
    <w:name w:val="ConsPlusTitle"/>
    <w:link w:val="Style_24"/>
    <w:rPr>
      <w:rFonts w:ascii="Arial" w:hAnsi="Arial"/>
      <w:b w:val="1"/>
      <w:sz w:val="24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ConsPlusTextList"/>
    <w:link w:val="Style_26_ch"/>
    <w:pPr>
      <w:widowControl w:val="0"/>
      <w:ind/>
    </w:pPr>
    <w:rPr>
      <w:rFonts w:ascii="Times New Roman" w:hAnsi="Times New Roman"/>
      <w:sz w:val="24"/>
    </w:rPr>
  </w:style>
  <w:style w:styleId="Style_26_ch" w:type="character">
    <w:name w:val="ConsPlusTextList"/>
    <w:link w:val="Style_26"/>
    <w:rPr>
      <w:rFonts w:ascii="Times New Roman" w:hAnsi="Times New Roman"/>
      <w:sz w:val="24"/>
    </w:rPr>
  </w:style>
  <w:style w:styleId="Style_27" w:type="paragraph">
    <w:name w:val="Title"/>
    <w:next w:val="Style_3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ConsPlusDocList"/>
    <w:link w:val="Style_29_ch"/>
    <w:pPr>
      <w:widowControl w:val="0"/>
      <w:ind/>
    </w:pPr>
    <w:rPr>
      <w:rFonts w:ascii="Tahoma" w:hAnsi="Tahoma"/>
      <w:sz w:val="18"/>
    </w:rPr>
  </w:style>
  <w:style w:styleId="Style_29_ch" w:type="character">
    <w:name w:val="ConsPlusDocList"/>
    <w:link w:val="Style_29"/>
    <w:rPr>
      <w:rFonts w:ascii="Tahoma" w:hAnsi="Tahoma"/>
      <w:sz w:val="18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2025-12-13T08:53:41Z</dcterms:modified>
</cp:coreProperties>
</file>